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0F7" w:rsidRPr="009D20CA" w:rsidRDefault="000130F7" w:rsidP="000130F7">
      <w:pPr>
        <w:jc w:val="both"/>
        <w:rPr>
          <w:b/>
          <w:sz w:val="32"/>
        </w:rPr>
      </w:pPr>
      <w:bookmarkStart w:id="0" w:name="_GoBack"/>
      <w:bookmarkEnd w:id="0"/>
      <w:r w:rsidRPr="009D20CA">
        <w:rPr>
          <w:b/>
          <w:sz w:val="32"/>
        </w:rPr>
        <w:t xml:space="preserve">Studio e cura della sindrome emolitico uremica </w:t>
      </w:r>
      <w:r w:rsidRPr="009D20CA">
        <w:rPr>
          <w:b/>
          <w:sz w:val="32"/>
        </w:rPr>
        <w:t xml:space="preserve">SEU </w:t>
      </w:r>
    </w:p>
    <w:p w:rsidR="009D20CA" w:rsidRPr="009D20CA" w:rsidRDefault="009D20CA" w:rsidP="000130F7">
      <w:pPr>
        <w:jc w:val="both"/>
        <w:rPr>
          <w:b/>
        </w:rPr>
      </w:pPr>
      <w:r w:rsidRPr="009D20CA">
        <w:rPr>
          <w:b/>
        </w:rPr>
        <w:t>Progetto di ricerca</w:t>
      </w:r>
    </w:p>
    <w:p w:rsidR="000130F7" w:rsidRDefault="000130F7" w:rsidP="000130F7">
      <w:pPr>
        <w:jc w:val="both"/>
      </w:pPr>
      <w:r>
        <w:t xml:space="preserve">La sindrome emolitico uremica (SEU) tipica è una grave sequela di infezioni intestinali causate da alcuni ceppi di </w:t>
      </w:r>
      <w:r w:rsidRPr="0012456A">
        <w:rPr>
          <w:i/>
        </w:rPr>
        <w:t>Escherichia coli</w:t>
      </w:r>
      <w:r>
        <w:t xml:space="preserve"> (STEC) in grado di produrre potenti tossine quali </w:t>
      </w:r>
      <w:proofErr w:type="spellStart"/>
      <w:r>
        <w:t>Shiga</w:t>
      </w:r>
      <w:proofErr w:type="spellEnd"/>
      <w:r>
        <w:t xml:space="preserve"> tossina </w:t>
      </w:r>
      <w:r w:rsidR="009D20CA">
        <w:t>1</w:t>
      </w:r>
      <w:r>
        <w:t xml:space="preserve"> (Stx</w:t>
      </w:r>
      <w:r w:rsidR="009D20CA">
        <w:t>1</w:t>
      </w:r>
      <w:r>
        <w:t>)</w:t>
      </w:r>
      <w:r w:rsidR="009D20CA">
        <w:t xml:space="preserve"> e </w:t>
      </w:r>
      <w:proofErr w:type="spellStart"/>
      <w:r w:rsidR="009D20CA">
        <w:t>Shiga</w:t>
      </w:r>
      <w:proofErr w:type="spellEnd"/>
      <w:r w:rsidR="009D20CA">
        <w:t xml:space="preserve"> tossina </w:t>
      </w:r>
      <w:r w:rsidR="009D20CA">
        <w:t>2</w:t>
      </w:r>
      <w:r w:rsidR="009D20CA">
        <w:t xml:space="preserve"> (Stx</w:t>
      </w:r>
      <w:r w:rsidR="009D20CA">
        <w:t>2)</w:t>
      </w:r>
      <w:r>
        <w:t xml:space="preserve">. La SEU è la prima causa di insufficienza renale acuta nei bambini sotto tre anni con un’incidenza di 1-2/100.000. Le infezioni da STEC sono trasmesse attraverso la via alimentare e si possono manifestare come epidemie. </w:t>
      </w:r>
    </w:p>
    <w:p w:rsidR="009D20CA" w:rsidRDefault="009D20CA" w:rsidP="000130F7">
      <w:pPr>
        <w:jc w:val="both"/>
      </w:pPr>
      <w:r>
        <w:t xml:space="preserve">I ceppi STEC che producono la sola Stx2 sono </w:t>
      </w:r>
      <w:proofErr w:type="spellStart"/>
      <w:r>
        <w:t>epidemiologicamente</w:t>
      </w:r>
      <w:proofErr w:type="spellEnd"/>
      <w:r>
        <w:t xml:space="preserve"> associati allo sviluppo della SEU nell’uomo, mentre quelli che producono sia Stx2 che Stx1 determinano un rischio d’insorgenza della sindrome assai minore. Non sono noti i meccanismi responsabili di tale fenomeno.</w:t>
      </w:r>
    </w:p>
    <w:p w:rsidR="009D20CA" w:rsidRDefault="000130F7" w:rsidP="000130F7">
      <w:pPr>
        <w:jc w:val="both"/>
      </w:pPr>
      <w:proofErr w:type="spellStart"/>
      <w:r>
        <w:t>La</w:t>
      </w:r>
      <w:proofErr w:type="spellEnd"/>
      <w:r>
        <w:t xml:space="preserve"> Stx2 è rilasciata nell’intestino dagli STEC e interagisce con cellule circolanti (monociti, neutrofili e piastrine) mediante due diversi recettori (Gb3Cer e TLR4). Queste cellule così stimolate formano aggregati e leucocita/piastrine e liberano </w:t>
      </w:r>
      <w:proofErr w:type="spellStart"/>
      <w:r>
        <w:t>microvescicole</w:t>
      </w:r>
      <w:proofErr w:type="spellEnd"/>
      <w:r>
        <w:t xml:space="preserve"> contenenti Stx2 e altri fattori di virulenza. Le </w:t>
      </w:r>
      <w:proofErr w:type="spellStart"/>
      <w:r>
        <w:t>microvescicole</w:t>
      </w:r>
      <w:proofErr w:type="spellEnd"/>
      <w:r>
        <w:t xml:space="preserve"> colpiscono le cellule endoteliali del microcircolo renale causando la SEU tipica.</w:t>
      </w:r>
      <w:r>
        <w:t xml:space="preserve"> Tuttavia, le caratteristiche specifiche che rendono patogene le </w:t>
      </w:r>
      <w:proofErr w:type="spellStart"/>
      <w:r>
        <w:t>microvescicole</w:t>
      </w:r>
      <w:proofErr w:type="spellEnd"/>
      <w:r>
        <w:t xml:space="preserve"> (</w:t>
      </w:r>
      <w:proofErr w:type="spellStart"/>
      <w:r>
        <w:t>patotipo</w:t>
      </w:r>
      <w:proofErr w:type="spellEnd"/>
      <w:r>
        <w:t>)</w:t>
      </w:r>
      <w:r w:rsidR="008E7D35">
        <w:t>,</w:t>
      </w:r>
      <w:r>
        <w:t xml:space="preserve"> </w:t>
      </w:r>
      <w:r w:rsidR="009D20CA">
        <w:t>al di là de</w:t>
      </w:r>
      <w:r>
        <w:t>lla presenza della Stx2</w:t>
      </w:r>
      <w:r w:rsidR="008E7D35">
        <w:t>,</w:t>
      </w:r>
      <w:r>
        <w:t xml:space="preserve"> non sono state ancora definite. </w:t>
      </w:r>
    </w:p>
    <w:p w:rsidR="009D20CA" w:rsidRDefault="008E7D35" w:rsidP="000130F7">
      <w:pPr>
        <w:jc w:val="both"/>
      </w:pPr>
      <w:r>
        <w:t xml:space="preserve">La Stx2 </w:t>
      </w:r>
      <w:r w:rsidR="00C4089A">
        <w:t xml:space="preserve">può presentarsi in due forme denominate intera (catena A integra + 5 catene B integre) e intaccata (catena A </w:t>
      </w:r>
      <w:r w:rsidR="00073027">
        <w:t>sud</w:t>
      </w:r>
      <w:r w:rsidR="00C4089A">
        <w:t xml:space="preserve">divisa </w:t>
      </w:r>
      <w:r w:rsidR="00073027">
        <w:t>in due</w:t>
      </w:r>
      <w:r w:rsidR="00C4089A">
        <w:t xml:space="preserve"> frammenti </w:t>
      </w:r>
      <w:r w:rsidR="00073027">
        <w:t>[</w:t>
      </w:r>
      <w:r w:rsidR="00C4089A">
        <w:t>A1 e A2</w:t>
      </w:r>
      <w:r w:rsidR="00073027">
        <w:t>]</w:t>
      </w:r>
      <w:r w:rsidR="00C4089A">
        <w:t xml:space="preserve"> uniti da un ponte disolfuro + 5 catene B integre) ugualmente tossiche per le cellule bersaglio. Tuttavia, le due forme </w:t>
      </w:r>
      <w:r w:rsidR="009D20CA">
        <w:t xml:space="preserve">concorrono in modo assai differente alla patogenesi della SEU (attivazione del complemento, legame al TLR4 sulle cellule circolanti). </w:t>
      </w:r>
    </w:p>
    <w:p w:rsidR="000130F7" w:rsidRDefault="000130F7" w:rsidP="000130F7">
      <w:pPr>
        <w:jc w:val="both"/>
      </w:pPr>
      <w:r>
        <w:t>Non vi sono terapie specifiche per la SEU da STEC e i pazienti vengono trattati con terapie di supporto (</w:t>
      </w:r>
      <w:proofErr w:type="spellStart"/>
      <w:r>
        <w:t>iperidratazione</w:t>
      </w:r>
      <w:proofErr w:type="spellEnd"/>
      <w:r>
        <w:t xml:space="preserve">, dialisi, trasfusioni, controllo di ipertensione e bilancio idrico-salino). La terapia antibiotica è sconsigliata perché determina il rilascio di maggiori quantità di tossine. </w:t>
      </w:r>
      <w:r w:rsidR="009D20CA">
        <w:t>Sono in corso di studio composti in grado di prevenire il legame della Stx2 alle cellule circolanti.</w:t>
      </w:r>
    </w:p>
    <w:p w:rsidR="009D20CA" w:rsidRDefault="009D20CA" w:rsidP="000130F7">
      <w:pPr>
        <w:jc w:val="both"/>
      </w:pPr>
    </w:p>
    <w:p w:rsidR="000130F7" w:rsidRPr="00555C6E" w:rsidRDefault="009D20CA" w:rsidP="000130F7">
      <w:pPr>
        <w:jc w:val="both"/>
        <w:rPr>
          <w:b/>
        </w:rPr>
      </w:pPr>
      <w:r w:rsidRPr="00555C6E">
        <w:rPr>
          <w:b/>
        </w:rPr>
        <w:t>Piano di attività</w:t>
      </w:r>
    </w:p>
    <w:p w:rsidR="000130F7" w:rsidRDefault="000130F7" w:rsidP="000130F7">
      <w:pPr>
        <w:pStyle w:val="Paragrafoelenco"/>
        <w:numPr>
          <w:ilvl w:val="0"/>
          <w:numId w:val="1"/>
        </w:numPr>
        <w:jc w:val="both"/>
      </w:pPr>
      <w:r>
        <w:t xml:space="preserve">Verificare in modelli di patogenesi sperimentale in vitro (sangue da donatore trattato con Stx2) provenienza e </w:t>
      </w:r>
      <w:proofErr w:type="spellStart"/>
      <w:r>
        <w:t>patotipo</w:t>
      </w:r>
      <w:proofErr w:type="spellEnd"/>
      <w:r>
        <w:t xml:space="preserve"> delle </w:t>
      </w:r>
      <w:proofErr w:type="spellStart"/>
      <w:r>
        <w:t>microvescicole</w:t>
      </w:r>
      <w:proofErr w:type="spellEnd"/>
      <w:r>
        <w:t xml:space="preserve"> patogene implicate nella patogenesi della SEU</w:t>
      </w:r>
    </w:p>
    <w:p w:rsidR="000130F7" w:rsidRDefault="000130F7" w:rsidP="000130F7">
      <w:pPr>
        <w:pStyle w:val="Paragrafoelenco"/>
        <w:numPr>
          <w:ilvl w:val="0"/>
          <w:numId w:val="1"/>
        </w:numPr>
        <w:jc w:val="both"/>
      </w:pPr>
      <w:r>
        <w:t xml:space="preserve">Dimostrare l’azione inibitoria </w:t>
      </w:r>
      <w:r w:rsidR="00555C6E">
        <w:t xml:space="preserve">di composti in grado di </w:t>
      </w:r>
      <w:r w:rsidR="00555C6E">
        <w:t>prevenire il legame della Stx2 alle cellule circolanti</w:t>
      </w:r>
      <w:r w:rsidR="00555C6E">
        <w:t xml:space="preserve"> su</w:t>
      </w:r>
      <w:r>
        <w:t xml:space="preserve">lla produzione di </w:t>
      </w:r>
      <w:proofErr w:type="spellStart"/>
      <w:r>
        <w:t>microvescicole</w:t>
      </w:r>
      <w:proofErr w:type="spellEnd"/>
      <w:r>
        <w:t xml:space="preserve"> </w:t>
      </w:r>
      <w:r w:rsidR="00555C6E">
        <w:t xml:space="preserve">patogene </w:t>
      </w:r>
      <w:r>
        <w:t>contenenti Stx2</w:t>
      </w:r>
    </w:p>
    <w:p w:rsidR="000130F7" w:rsidRDefault="000130F7" w:rsidP="000130F7">
      <w:pPr>
        <w:pStyle w:val="Paragrafoelenco"/>
        <w:numPr>
          <w:ilvl w:val="0"/>
          <w:numId w:val="1"/>
        </w:numPr>
        <w:jc w:val="both"/>
      </w:pPr>
      <w:r>
        <w:t xml:space="preserve">Verificare l’effetto tossico delle </w:t>
      </w:r>
      <w:proofErr w:type="spellStart"/>
      <w:r>
        <w:t>microvescicole</w:t>
      </w:r>
      <w:proofErr w:type="spellEnd"/>
      <w:r>
        <w:t xml:space="preserve"> su cellule umane sensibili e la protezione indotta da </w:t>
      </w:r>
      <w:r w:rsidR="00555C6E">
        <w:t>tali composti</w:t>
      </w:r>
    </w:p>
    <w:p w:rsidR="000130F7" w:rsidRDefault="000130F7" w:rsidP="000130F7">
      <w:pPr>
        <w:pStyle w:val="Paragrafoelenco"/>
        <w:numPr>
          <w:ilvl w:val="0"/>
          <w:numId w:val="1"/>
        </w:numPr>
        <w:jc w:val="both"/>
      </w:pPr>
      <w:r>
        <w:t xml:space="preserve">Verificare l’effetto tossico delle </w:t>
      </w:r>
      <w:proofErr w:type="spellStart"/>
      <w:r>
        <w:t>microvescicole</w:t>
      </w:r>
      <w:proofErr w:type="spellEnd"/>
      <w:r>
        <w:t xml:space="preserve"> in modell</w:t>
      </w:r>
      <w:r w:rsidR="00073027">
        <w:t>i</w:t>
      </w:r>
      <w:r>
        <w:t xml:space="preserve"> </w:t>
      </w:r>
      <w:r w:rsidR="00073027">
        <w:t>animali</w:t>
      </w:r>
      <w:r>
        <w:t xml:space="preserve"> e la protezione indotta da </w:t>
      </w:r>
      <w:r w:rsidR="00555C6E">
        <w:t>tali composti</w:t>
      </w:r>
    </w:p>
    <w:p w:rsidR="00555C6E" w:rsidRDefault="00555C6E" w:rsidP="000130F7">
      <w:pPr>
        <w:pStyle w:val="Paragrafoelenco"/>
        <w:numPr>
          <w:ilvl w:val="0"/>
          <w:numId w:val="1"/>
        </w:numPr>
        <w:jc w:val="both"/>
      </w:pPr>
      <w:r>
        <w:t xml:space="preserve">Verificare l’effetto della Stx2 intera o intaccata sulla produzione di </w:t>
      </w:r>
      <w:proofErr w:type="spellStart"/>
      <w:r>
        <w:t>microvescicole</w:t>
      </w:r>
      <w:proofErr w:type="spellEnd"/>
      <w:r>
        <w:t xml:space="preserve"> patogene contenenti Stx2</w:t>
      </w:r>
    </w:p>
    <w:p w:rsidR="00555C6E" w:rsidRDefault="00555C6E" w:rsidP="00555C6E">
      <w:pPr>
        <w:pStyle w:val="Paragrafoelenco"/>
        <w:numPr>
          <w:ilvl w:val="0"/>
          <w:numId w:val="1"/>
        </w:numPr>
        <w:jc w:val="both"/>
      </w:pPr>
      <w:r>
        <w:t xml:space="preserve">Verificare l’effetto di Stx1 sulla </w:t>
      </w:r>
      <w:r>
        <w:t xml:space="preserve">produzione di </w:t>
      </w:r>
      <w:proofErr w:type="spellStart"/>
      <w:r>
        <w:t>microvescicole</w:t>
      </w:r>
      <w:proofErr w:type="spellEnd"/>
      <w:r>
        <w:t xml:space="preserve"> patogene contenenti Stx2</w:t>
      </w:r>
    </w:p>
    <w:p w:rsidR="00555C6E" w:rsidRDefault="00555C6E" w:rsidP="00555C6E">
      <w:pPr>
        <w:pStyle w:val="Paragrafoelenco"/>
        <w:jc w:val="both"/>
      </w:pPr>
    </w:p>
    <w:p w:rsidR="000130F7" w:rsidRDefault="000130F7" w:rsidP="000130F7">
      <w:pPr>
        <w:pStyle w:val="Paragrafoelenco"/>
        <w:jc w:val="both"/>
      </w:pPr>
    </w:p>
    <w:p w:rsidR="006E5137" w:rsidRDefault="006E5137"/>
    <w:sectPr w:rsidR="006E51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F4CDC"/>
    <w:multiLevelType w:val="hybridMultilevel"/>
    <w:tmpl w:val="9D6CC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F7"/>
    <w:rsid w:val="000130F7"/>
    <w:rsid w:val="00073027"/>
    <w:rsid w:val="00555C6E"/>
    <w:rsid w:val="006E5137"/>
    <w:rsid w:val="008E7D35"/>
    <w:rsid w:val="009D20CA"/>
    <w:rsid w:val="00C4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A824"/>
  <w15:chartTrackingRefBased/>
  <w15:docId w15:val="{5E972279-3A51-4966-893E-2006A621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30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3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Brigotti</dc:creator>
  <cp:keywords/>
  <dc:description/>
  <cp:lastModifiedBy>Maurizio Brigotti</cp:lastModifiedBy>
  <cp:revision>3</cp:revision>
  <dcterms:created xsi:type="dcterms:W3CDTF">2022-05-13T09:28:00Z</dcterms:created>
  <dcterms:modified xsi:type="dcterms:W3CDTF">2022-05-13T10:05:00Z</dcterms:modified>
</cp:coreProperties>
</file>